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numbering.xml" ContentType="application/vnd.openxmlformats-officedocument.wordprocessingml.numbering+xml"/>
  <Override PartName="/word/document.xml" ContentType="application/vnd.openxmlformats-officedocument.wordprocessingml.document.main+xml"/>
  <Override PartName="/word/header1.xml" ContentType="application/vnd.openxmlformats-officedocument.wordprocessingml.header+xml"/>
  <Override PartName="/word/_rels/document.xml.rels" ContentType="application/vnd.openxmlformats-package.relationships+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t xml:space="preserve"> </w:t>
      </w:r>
      <w:r>
        <w:rPr>
          <w:rFonts w:cs="Times New Roman" w:ascii="Times New Roman" w:hAnsi="Times New Roman"/>
          <w:sz w:val="28"/>
          <w:szCs w:val="28"/>
        </w:rPr>
        <w:t xml:space="preserve">Информационное сообщение № </w:t>
      </w:r>
      <w:bookmarkStart w:id="0" w:name="_GoBack"/>
      <w:bookmarkEnd w:id="0"/>
      <w:r>
        <w:rPr>
          <w:rFonts w:cs="Times New Roman" w:ascii="Times New Roman" w:hAnsi="Times New Roman"/>
          <w:sz w:val="28"/>
          <w:szCs w:val="28"/>
        </w:rPr>
        <w:t>1-1 АБТ</w:t>
      </w:r>
    </w:p>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t>о продаже государственного имущества</w:t>
      </w:r>
    </w:p>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r>
    </w:p>
    <w:tbl>
      <w:tblPr>
        <w:tblStyle w:val="a4"/>
        <w:tblW w:w="9782" w:type="dxa"/>
        <w:jc w:val="left"/>
        <w:tblInd w:w="-318" w:type="dxa"/>
        <w:tblCellMar>
          <w:top w:w="0" w:type="dxa"/>
          <w:left w:w="108" w:type="dxa"/>
          <w:bottom w:w="0" w:type="dxa"/>
          <w:right w:w="108" w:type="dxa"/>
        </w:tblCellMar>
        <w:tblLook w:val="04a0" w:noVBand="1" w:noHBand="0" w:lastColumn="0" w:firstColumn="1" w:lastRow="0" w:firstRow="1"/>
      </w:tblPr>
      <w:tblGrid>
        <w:gridCol w:w="538"/>
        <w:gridCol w:w="3857"/>
        <w:gridCol w:w="5387"/>
      </w:tblGrid>
      <w:tr>
        <w:trPr>
          <w:tblHeader w:val="true"/>
        </w:trPr>
        <w:tc>
          <w:tcPr>
            <w:tcW w:w="538" w:type="dxa"/>
            <w:tcBorders/>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п/п</w:t>
            </w:r>
          </w:p>
        </w:tc>
        <w:tc>
          <w:tcPr>
            <w:tcW w:w="3857" w:type="dxa"/>
            <w:tcBorders/>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Наименование сведений</w:t>
            </w:r>
          </w:p>
        </w:tc>
        <w:tc>
          <w:tcPr>
            <w:tcW w:w="5387" w:type="dxa"/>
            <w:tcBorders/>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Информация</w:t>
            </w:r>
          </w:p>
        </w:tc>
      </w:tr>
      <w:tr>
        <w:trPr/>
        <w:tc>
          <w:tcPr>
            <w:tcW w:w="538" w:type="dxa"/>
            <w:tcBorders/>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1</w:t>
            </w:r>
          </w:p>
        </w:tc>
        <w:tc>
          <w:tcPr>
            <w:tcW w:w="3857" w:type="dxa"/>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Наименование государственного органа, принявшего решение об условиях приватизации имущества, реквизиты указанного решения</w:t>
            </w:r>
          </w:p>
        </w:tc>
        <w:tc>
          <w:tcPr>
            <w:tcW w:w="5387" w:type="dxa"/>
            <w:tcBorders/>
          </w:tcPr>
          <w:p>
            <w:pPr>
              <w:pStyle w:val="Normal"/>
              <w:spacing w:lineRule="auto" w:line="240" w:before="0" w:after="0"/>
              <w:ind w:firstLine="318"/>
              <w:jc w:val="both"/>
              <w:rPr>
                <w:rFonts w:ascii="Times New Roman" w:hAnsi="Times New Roman" w:cs="Times New Roman"/>
                <w:sz w:val="24"/>
                <w:szCs w:val="24"/>
              </w:rPr>
            </w:pPr>
            <w:r>
              <w:rPr>
                <w:rFonts w:cs="Times New Roman" w:ascii="Times New Roman" w:hAnsi="Times New Roman"/>
                <w:sz w:val="24"/>
                <w:szCs w:val="24"/>
              </w:rPr>
              <w:t>Федеральная служба войск национальной гвардии Российской Федерации.</w:t>
            </w:r>
          </w:p>
          <w:p>
            <w:pPr>
              <w:pStyle w:val="Normal"/>
              <w:spacing w:lineRule="auto" w:line="240" w:before="0" w:after="0"/>
              <w:ind w:firstLine="318"/>
              <w:jc w:val="both"/>
              <w:rPr>
                <w:rFonts w:ascii="Times New Roman" w:hAnsi="Times New Roman" w:cs="Times New Roman"/>
                <w:sz w:val="24"/>
                <w:szCs w:val="24"/>
              </w:rPr>
            </w:pPr>
            <w:r>
              <w:rPr>
                <w:rFonts w:cs="Times New Roman" w:ascii="Times New Roman" w:hAnsi="Times New Roman"/>
                <w:sz w:val="24"/>
                <w:szCs w:val="24"/>
              </w:rPr>
              <w:t xml:space="preserve">Распоряжение от </w:t>
            </w:r>
            <w:r>
              <w:rPr>
                <w:rFonts w:eastAsia="Calibri" w:cs="Times New Roman" w:ascii="Times New Roman" w:hAnsi="Times New Roman" w:eastAsiaTheme="minorHAnsi"/>
                <w:color w:val="auto"/>
                <w:kern w:val="0"/>
                <w:sz w:val="24"/>
                <w:szCs w:val="24"/>
                <w:lang w:val="ru-RU" w:eastAsia="en-US" w:bidi="ar-SA"/>
              </w:rPr>
              <w:t>27</w:t>
            </w:r>
            <w:r>
              <w:rPr>
                <w:rFonts w:cs="Times New Roman" w:ascii="Times New Roman" w:hAnsi="Times New Roman"/>
                <w:sz w:val="24"/>
                <w:szCs w:val="24"/>
              </w:rPr>
              <w:t>.11.2019 г. №1/</w:t>
            </w:r>
            <w:r>
              <w:rPr>
                <w:rFonts w:eastAsia="Calibri" w:cs="Times New Roman" w:ascii="Times New Roman" w:hAnsi="Times New Roman" w:eastAsiaTheme="minorHAnsi"/>
                <w:color w:val="auto"/>
                <w:kern w:val="0"/>
                <w:sz w:val="24"/>
                <w:szCs w:val="24"/>
                <w:lang w:val="ru-RU" w:eastAsia="en-US" w:bidi="ar-SA"/>
              </w:rPr>
              <w:t>838</w:t>
            </w:r>
            <w:r>
              <w:rPr>
                <w:rFonts w:cs="Times New Roman" w:ascii="Times New Roman" w:hAnsi="Times New Roman"/>
                <w:sz w:val="24"/>
                <w:szCs w:val="24"/>
              </w:rPr>
              <w:t>-Р.</w:t>
            </w:r>
          </w:p>
        </w:tc>
      </w:tr>
      <w:tr>
        <w:trPr/>
        <w:tc>
          <w:tcPr>
            <w:tcW w:w="538" w:type="dxa"/>
            <w:tcBorders/>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2</w:t>
            </w:r>
          </w:p>
        </w:tc>
        <w:tc>
          <w:tcPr>
            <w:tcW w:w="3857" w:type="dxa"/>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Наименование имущества и иные позволяющие его индивидуализировать сведения (характеристика имущества)</w:t>
            </w:r>
          </w:p>
        </w:tc>
        <w:tc>
          <w:tcPr>
            <w:tcW w:w="5387" w:type="dxa"/>
            <w:tcBorders/>
          </w:tcPr>
          <w:p>
            <w:pPr>
              <w:pStyle w:val="Normal"/>
              <w:spacing w:lineRule="auto" w:line="240" w:before="0" w:after="0"/>
              <w:ind w:firstLine="318"/>
              <w:jc w:val="both"/>
              <w:rPr>
                <w:rFonts w:ascii="Times New Roman" w:hAnsi="Times New Roman" w:cs="Times New Roman"/>
                <w:sz w:val="24"/>
                <w:szCs w:val="24"/>
              </w:rPr>
            </w:pPr>
            <w:r>
              <w:rPr>
                <w:rFonts w:cs="Times New Roman" w:ascii="Times New Roman" w:hAnsi="Times New Roman"/>
                <w:sz w:val="24"/>
                <w:szCs w:val="24"/>
              </w:rPr>
              <w:t>Движимое военное имущество (кроме вооружения и боеприпасов):</w:t>
            </w:r>
          </w:p>
          <w:p>
            <w:pPr>
              <w:pStyle w:val="Normal"/>
              <w:spacing w:lineRule="auto" w:line="240" w:before="0" w:after="0"/>
              <w:ind w:firstLine="318"/>
              <w:jc w:val="both"/>
              <w:rPr>
                <w:rFonts w:ascii="Times New Roman" w:hAnsi="Times New Roman" w:cs="Times New Roman"/>
                <w:sz w:val="24"/>
                <w:szCs w:val="24"/>
              </w:rPr>
            </w:pPr>
            <w:r>
              <w:rPr>
                <w:rFonts w:cs="Times New Roman" w:ascii="Times New Roman" w:hAnsi="Times New Roman"/>
                <w:sz w:val="24"/>
                <w:szCs w:val="24"/>
              </w:rPr>
              <w:t xml:space="preserve">а) </w:t>
            </w:r>
            <w:r>
              <w:rPr>
                <w:rFonts w:eastAsia="Calibri" w:cs="Times New Roman" w:ascii="Times New Roman" w:hAnsi="Times New Roman"/>
                <w:sz w:val="24"/>
                <w:szCs w:val="24"/>
              </w:rPr>
              <w:t>комплектующие и принадлежности для автотранспортных средств.</w:t>
            </w:r>
            <w:r>
              <w:rPr>
                <w:rFonts w:cs="Times New Roman" w:ascii="Times New Roman" w:hAnsi="Times New Roman"/>
                <w:sz w:val="24"/>
                <w:szCs w:val="24"/>
              </w:rPr>
              <w:t xml:space="preserve"> Перечень имущества указан в Приложении №1.</w:t>
            </w:r>
          </w:p>
        </w:tc>
      </w:tr>
      <w:tr>
        <w:trPr/>
        <w:tc>
          <w:tcPr>
            <w:tcW w:w="538" w:type="dxa"/>
            <w:tcBorders/>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3</w:t>
            </w:r>
          </w:p>
        </w:tc>
        <w:tc>
          <w:tcPr>
            <w:tcW w:w="3857" w:type="dxa"/>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Способ приватизации имущества</w:t>
            </w:r>
          </w:p>
        </w:tc>
        <w:tc>
          <w:tcPr>
            <w:tcW w:w="5387" w:type="dxa"/>
            <w:tcBorders/>
          </w:tcPr>
          <w:p>
            <w:pPr>
              <w:pStyle w:val="Normal"/>
              <w:spacing w:lineRule="auto" w:line="240" w:before="0" w:after="0"/>
              <w:ind w:firstLine="318"/>
              <w:jc w:val="both"/>
              <w:rPr>
                <w:rFonts w:ascii="Times New Roman" w:hAnsi="Times New Roman" w:cs="Times New Roman"/>
                <w:sz w:val="24"/>
                <w:szCs w:val="24"/>
              </w:rPr>
            </w:pPr>
            <w:r>
              <w:rPr>
                <w:rFonts w:cs="Times New Roman" w:ascii="Times New Roman" w:hAnsi="Times New Roman"/>
                <w:sz w:val="24"/>
                <w:szCs w:val="24"/>
              </w:rPr>
              <w:t>Продажа государственного имущества на аукционе в электронной форме с открытой формой подачи предложений о цене имущества в порядке, определенном постановлением Правительства РФ от 27 августа 2012 г. N 860 "Об организации и проведении продажи государственного или муниципального имущества в электронной форме".</w:t>
            </w:r>
          </w:p>
        </w:tc>
      </w:tr>
      <w:tr>
        <w:trPr/>
        <w:tc>
          <w:tcPr>
            <w:tcW w:w="538" w:type="dxa"/>
            <w:tcBorders/>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4</w:t>
            </w:r>
          </w:p>
        </w:tc>
        <w:tc>
          <w:tcPr>
            <w:tcW w:w="3857" w:type="dxa"/>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Начальная цена продажи имущества</w:t>
            </w:r>
          </w:p>
        </w:tc>
        <w:tc>
          <w:tcPr>
            <w:tcW w:w="5387" w:type="dxa"/>
            <w:tcBorders/>
          </w:tcPr>
          <w:p>
            <w:pPr>
              <w:pStyle w:val="Normal"/>
              <w:spacing w:lineRule="auto" w:line="240" w:before="0" w:after="0"/>
              <w:ind w:firstLine="318"/>
              <w:jc w:val="both"/>
              <w:rPr>
                <w:color w:val="000000"/>
              </w:rPr>
            </w:pPr>
            <w:r>
              <w:rPr>
                <w:rFonts w:eastAsia="Calibri" w:cs="Times New Roman" w:ascii="Times New Roman" w:hAnsi="Times New Roman"/>
                <w:b/>
                <w:color w:val="000000"/>
                <w:kern w:val="0"/>
                <w:sz w:val="24"/>
                <w:szCs w:val="24"/>
                <w:lang w:val="ru-RU" w:eastAsia="en-US" w:bidi="ar-SA"/>
              </w:rPr>
              <w:t>436 381</w:t>
            </w:r>
            <w:r>
              <w:rPr>
                <w:rFonts w:cs="Times New Roman" w:ascii="Times New Roman" w:hAnsi="Times New Roman"/>
                <w:b/>
                <w:color w:val="000000"/>
                <w:sz w:val="24"/>
                <w:szCs w:val="24"/>
              </w:rPr>
              <w:t xml:space="preserve"> рублей 00 копеек</w:t>
            </w:r>
          </w:p>
          <w:p>
            <w:pPr>
              <w:pStyle w:val="Normal"/>
              <w:spacing w:lineRule="auto" w:line="240" w:before="0" w:after="0"/>
              <w:ind w:firstLine="318"/>
              <w:jc w:val="both"/>
              <w:rPr>
                <w:rFonts w:ascii="Times New Roman" w:hAnsi="Times New Roman" w:cs="Times New Roman"/>
                <w:sz w:val="24"/>
                <w:szCs w:val="24"/>
              </w:rPr>
            </w:pPr>
            <w:r>
              <w:rPr>
                <w:rFonts w:cs="Times New Roman" w:ascii="Times New Roman" w:hAnsi="Times New Roman"/>
                <w:sz w:val="24"/>
                <w:szCs w:val="24"/>
              </w:rPr>
              <w:t xml:space="preserve">Оценка имущества произведена в соответствии с Федеральным законом от 29.07.1998г. № 135-ФЗ «Об оценочной деятельности в Российской Федерации» (отчет об оценке от </w:t>
            </w:r>
            <w:r>
              <w:rPr>
                <w:rFonts w:eastAsia="Calibri" w:cs="Times New Roman" w:ascii="Times New Roman" w:hAnsi="Times New Roman" w:eastAsiaTheme="minorHAnsi"/>
                <w:color w:val="auto"/>
                <w:kern w:val="0"/>
                <w:sz w:val="24"/>
                <w:szCs w:val="24"/>
                <w:lang w:val="ru-RU" w:eastAsia="en-US" w:bidi="ar-SA"/>
              </w:rPr>
              <w:t>07.</w:t>
            </w:r>
            <w:r>
              <w:rPr>
                <w:rFonts w:cs="Times New Roman" w:ascii="Times New Roman" w:hAnsi="Times New Roman"/>
                <w:sz w:val="24"/>
                <w:szCs w:val="24"/>
              </w:rPr>
              <w:t>04.2021г.)</w:t>
            </w:r>
          </w:p>
        </w:tc>
      </w:tr>
      <w:tr>
        <w:trPr/>
        <w:tc>
          <w:tcPr>
            <w:tcW w:w="538" w:type="dxa"/>
            <w:tcBorders/>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5</w:t>
            </w:r>
          </w:p>
        </w:tc>
        <w:tc>
          <w:tcPr>
            <w:tcW w:w="3857" w:type="dxa"/>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Величина повышения начальной цены продажи («шаг аукциона»)</w:t>
            </w:r>
          </w:p>
        </w:tc>
        <w:tc>
          <w:tcPr>
            <w:tcW w:w="5387" w:type="dxa"/>
            <w:tcBorders/>
          </w:tcPr>
          <w:p>
            <w:pPr>
              <w:pStyle w:val="Normal"/>
              <w:spacing w:lineRule="auto" w:line="240" w:before="0" w:after="0"/>
              <w:ind w:firstLine="318"/>
              <w:jc w:val="both"/>
              <w:rPr>
                <w:rFonts w:ascii="Calibri" w:hAnsi="Calibri" w:eastAsia="Calibri" w:cs="" w:asciiTheme="minorHAnsi" w:cstheme="minorBidi" w:eastAsiaTheme="minorHAnsi" w:hAnsiTheme="minorHAnsi"/>
                <w:highlight w:val="white"/>
              </w:rPr>
            </w:pPr>
            <w:r>
              <w:rPr>
                <w:rFonts w:cs="Times New Roman" w:ascii="Times New Roman" w:hAnsi="Times New Roman"/>
                <w:sz w:val="24"/>
                <w:szCs w:val="24"/>
                <w:highlight w:val="white"/>
              </w:rPr>
              <w:t>Фиксированная сумма.</w:t>
            </w:r>
          </w:p>
          <w:p>
            <w:pPr>
              <w:pStyle w:val="Normal"/>
              <w:spacing w:lineRule="auto" w:line="240" w:before="0" w:after="0"/>
              <w:ind w:firstLine="318"/>
              <w:jc w:val="both"/>
              <w:rPr>
                <w:rFonts w:ascii="Calibri" w:hAnsi="Calibri" w:eastAsia="Calibri" w:cs="" w:asciiTheme="minorHAnsi" w:cstheme="minorBidi" w:eastAsiaTheme="minorHAnsi" w:hAnsiTheme="minorHAnsi"/>
                <w:highlight w:val="white"/>
              </w:rPr>
            </w:pPr>
            <w:r>
              <w:rPr>
                <w:rFonts w:eastAsia="Calibri" w:cs="Times New Roman" w:ascii="Times New Roman" w:hAnsi="Times New Roman" w:eastAsiaTheme="minorHAnsi"/>
                <w:b/>
                <w:color w:val="000000"/>
                <w:kern w:val="0"/>
                <w:sz w:val="24"/>
                <w:szCs w:val="24"/>
                <w:highlight w:val="white"/>
                <w:lang w:val="ru-RU" w:eastAsia="en-US" w:bidi="ar-SA"/>
              </w:rPr>
              <w:t xml:space="preserve">20 </w:t>
            </w:r>
            <w:r>
              <w:rPr>
                <w:rFonts w:cs="Times New Roman" w:ascii="Times New Roman" w:hAnsi="Times New Roman"/>
                <w:b/>
                <w:sz w:val="24"/>
                <w:szCs w:val="24"/>
                <w:highlight w:val="white"/>
              </w:rPr>
              <w:t xml:space="preserve">000 рублей 00 копеек. </w:t>
            </w:r>
          </w:p>
        </w:tc>
      </w:tr>
      <w:tr>
        <w:trPr/>
        <w:tc>
          <w:tcPr>
            <w:tcW w:w="538" w:type="dxa"/>
            <w:tcBorders/>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6</w:t>
            </w:r>
          </w:p>
        </w:tc>
        <w:tc>
          <w:tcPr>
            <w:tcW w:w="3857" w:type="dxa"/>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Условия и сроки платежа, необходимые реквизиты счетов</w:t>
            </w:r>
          </w:p>
        </w:tc>
        <w:tc>
          <w:tcPr>
            <w:tcW w:w="5387" w:type="dxa"/>
            <w:tcBorders/>
          </w:tcPr>
          <w:p>
            <w:pPr>
              <w:pStyle w:val="Normal"/>
              <w:spacing w:lineRule="auto" w:line="240" w:before="0" w:after="0"/>
              <w:ind w:firstLine="318"/>
              <w:jc w:val="both"/>
              <w:rPr>
                <w:rFonts w:ascii="Calibri" w:hAnsi="Calibri" w:eastAsia="Calibri" w:cs="" w:asciiTheme="minorHAnsi" w:cstheme="minorBidi" w:eastAsiaTheme="minorHAnsi" w:hAnsiTheme="minorHAnsi"/>
                <w:highlight w:val="white"/>
              </w:rPr>
            </w:pPr>
            <w:r>
              <w:rPr>
                <w:rFonts w:cs="Times New Roman" w:ascii="Times New Roman" w:hAnsi="Times New Roman"/>
                <w:sz w:val="24"/>
                <w:szCs w:val="24"/>
                <w:highlight w:val="white"/>
              </w:rPr>
              <w:t>Условия и сроки платежа, реквизиты для перечисления оплаты указаны в проекте договора купли-продажи (Приложение № 2).</w:t>
            </w:r>
          </w:p>
        </w:tc>
      </w:tr>
      <w:tr>
        <w:trPr/>
        <w:tc>
          <w:tcPr>
            <w:tcW w:w="538" w:type="dxa"/>
            <w:tcBorders/>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7</w:t>
            </w:r>
          </w:p>
        </w:tc>
        <w:tc>
          <w:tcPr>
            <w:tcW w:w="3857" w:type="dxa"/>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Размер задатка, срок и порядок его внесения, необходимые реквизиты счетов</w:t>
            </w:r>
          </w:p>
        </w:tc>
        <w:tc>
          <w:tcPr>
            <w:tcW w:w="5387" w:type="dxa"/>
            <w:tcBorders/>
          </w:tcPr>
          <w:p>
            <w:pPr>
              <w:pStyle w:val="Normal"/>
              <w:spacing w:lineRule="auto" w:line="240" w:before="0" w:after="0"/>
              <w:ind w:firstLine="318"/>
              <w:jc w:val="both"/>
              <w:rPr>
                <w:rFonts w:ascii="Calibri" w:hAnsi="Calibri" w:eastAsia="Calibri" w:cs="" w:asciiTheme="minorHAnsi" w:cstheme="minorBidi" w:eastAsiaTheme="minorHAnsi" w:hAnsiTheme="minorHAnsi"/>
                <w:highlight w:val="white"/>
              </w:rPr>
            </w:pPr>
            <w:r>
              <w:rPr>
                <w:rFonts w:cs="Times New Roman" w:ascii="Times New Roman" w:hAnsi="Times New Roman"/>
                <w:sz w:val="24"/>
                <w:szCs w:val="24"/>
                <w:highlight w:val="white"/>
              </w:rPr>
              <w:t xml:space="preserve">Размер задатка 20% начальной цены продажи, </w:t>
            </w:r>
          </w:p>
          <w:p>
            <w:pPr>
              <w:pStyle w:val="Normal"/>
              <w:spacing w:lineRule="auto" w:line="240" w:before="0" w:after="0"/>
              <w:ind w:firstLine="318"/>
              <w:jc w:val="both"/>
              <w:rPr>
                <w:rFonts w:ascii="Calibri" w:hAnsi="Calibri" w:eastAsia="Calibri" w:cs="" w:asciiTheme="minorHAnsi" w:cstheme="minorBidi" w:eastAsiaTheme="minorHAnsi" w:hAnsiTheme="minorHAnsi"/>
                <w:highlight w:val="white"/>
              </w:rPr>
            </w:pPr>
            <w:r>
              <w:rPr>
                <w:rFonts w:cs="Times New Roman" w:ascii="Times New Roman" w:hAnsi="Times New Roman"/>
                <w:sz w:val="24"/>
                <w:szCs w:val="24"/>
                <w:highlight w:val="white"/>
              </w:rPr>
              <w:t xml:space="preserve">составляет </w:t>
            </w:r>
            <w:r>
              <w:rPr>
                <w:rFonts w:eastAsia="Calibri" w:cs="Times New Roman" w:ascii="Times New Roman" w:hAnsi="Times New Roman" w:eastAsiaTheme="minorHAnsi"/>
                <w:b/>
                <w:color w:val="000000"/>
                <w:kern w:val="0"/>
                <w:sz w:val="24"/>
                <w:szCs w:val="24"/>
                <w:highlight w:val="white"/>
                <w:lang w:val="ru-RU" w:eastAsia="en-US" w:bidi="ar-SA"/>
              </w:rPr>
              <w:t>87 276</w:t>
            </w:r>
            <w:r>
              <w:rPr>
                <w:rFonts w:cs="Times New Roman" w:ascii="Times New Roman" w:hAnsi="Times New Roman"/>
                <w:b/>
                <w:sz w:val="24"/>
                <w:szCs w:val="24"/>
                <w:highlight w:val="white"/>
              </w:rPr>
              <w:t xml:space="preserve"> рубл</w:t>
            </w:r>
            <w:r>
              <w:rPr>
                <w:rFonts w:cs="Times New Roman" w:ascii="Times New Roman" w:hAnsi="Times New Roman"/>
                <w:b/>
                <w:sz w:val="24"/>
                <w:szCs w:val="24"/>
                <w:highlight w:val="white"/>
              </w:rPr>
              <w:t>ей</w:t>
            </w:r>
            <w:r>
              <w:rPr>
                <w:rFonts w:cs="Times New Roman" w:ascii="Times New Roman" w:hAnsi="Times New Roman"/>
                <w:b/>
                <w:sz w:val="24"/>
                <w:szCs w:val="24"/>
                <w:highlight w:val="white"/>
              </w:rPr>
              <w:t xml:space="preserve"> </w:t>
            </w:r>
            <w:r>
              <w:rPr>
                <w:rFonts w:eastAsia="Calibri" w:cs="Times New Roman" w:ascii="Times New Roman" w:hAnsi="Times New Roman" w:eastAsiaTheme="minorHAnsi"/>
                <w:b/>
                <w:color w:val="000000"/>
                <w:kern w:val="0"/>
                <w:sz w:val="24"/>
                <w:szCs w:val="24"/>
                <w:highlight w:val="white"/>
                <w:lang w:val="ru-RU" w:eastAsia="en-US" w:bidi="ar-SA"/>
              </w:rPr>
              <w:t>20</w:t>
            </w:r>
            <w:r>
              <w:rPr>
                <w:rFonts w:cs="Times New Roman" w:ascii="Times New Roman" w:hAnsi="Times New Roman"/>
                <w:b/>
                <w:sz w:val="24"/>
                <w:szCs w:val="24"/>
                <w:highlight w:val="white"/>
              </w:rPr>
              <w:t xml:space="preserve"> копеек.</w:t>
            </w:r>
          </w:p>
          <w:p>
            <w:pPr>
              <w:pStyle w:val="Normal"/>
              <w:spacing w:lineRule="auto" w:line="240" w:before="0" w:after="0"/>
              <w:ind w:firstLine="318"/>
              <w:jc w:val="both"/>
              <w:rPr>
                <w:rFonts w:ascii="Calibri" w:hAnsi="Calibri" w:eastAsia="Calibri" w:cs="" w:asciiTheme="minorHAnsi" w:cstheme="minorBidi" w:eastAsiaTheme="minorHAnsi" w:hAnsiTheme="minorHAnsi"/>
                <w:highlight w:val="white"/>
              </w:rPr>
            </w:pPr>
            <w:r>
              <w:rPr>
                <w:rFonts w:cs="Times New Roman" w:ascii="Times New Roman" w:hAnsi="Times New Roman"/>
                <w:sz w:val="24"/>
                <w:szCs w:val="24"/>
                <w:highlight w:val="white"/>
              </w:rPr>
              <w:t xml:space="preserve">Внесенный победителем аукциона задаток засчитывается в счет оплаты приобретаемого имущества. </w:t>
            </w:r>
          </w:p>
          <w:p>
            <w:pPr>
              <w:pStyle w:val="Normal"/>
              <w:spacing w:lineRule="auto" w:line="240" w:before="0" w:after="0"/>
              <w:ind w:firstLine="318"/>
              <w:jc w:val="both"/>
              <w:rPr>
                <w:rFonts w:ascii="Calibri" w:hAnsi="Calibri" w:eastAsia="Calibri" w:cs="" w:asciiTheme="minorHAnsi" w:cstheme="minorBidi" w:eastAsiaTheme="minorHAnsi" w:hAnsiTheme="minorHAnsi"/>
                <w:highlight w:val="white"/>
              </w:rPr>
            </w:pPr>
            <w:r>
              <w:rPr>
                <w:rFonts w:cs="Times New Roman" w:ascii="Times New Roman" w:hAnsi="Times New Roman"/>
                <w:sz w:val="24"/>
                <w:szCs w:val="24"/>
                <w:highlight w:val="white"/>
              </w:rPr>
              <w:t>Срок внесения задатка: не позднее дня окончания приема заявок на участие в аукционе.</w:t>
            </w:r>
          </w:p>
          <w:p>
            <w:pPr>
              <w:pStyle w:val="Normal"/>
              <w:spacing w:lineRule="auto" w:line="240" w:before="0" w:after="0"/>
              <w:ind w:firstLine="318"/>
              <w:jc w:val="both"/>
              <w:rPr>
                <w:rFonts w:ascii="Calibri" w:hAnsi="Calibri" w:eastAsia="Calibri" w:cs="" w:asciiTheme="minorHAnsi" w:cstheme="minorBidi" w:eastAsiaTheme="minorHAnsi" w:hAnsiTheme="minorHAnsi"/>
                <w:highlight w:val="white"/>
              </w:rPr>
            </w:pPr>
            <w:r>
              <w:rPr>
                <w:rFonts w:cs="Times New Roman" w:ascii="Times New Roman" w:hAnsi="Times New Roman"/>
                <w:sz w:val="24"/>
                <w:szCs w:val="24"/>
                <w:highlight w:val="white"/>
              </w:rPr>
              <w:t>Реквизиты для перечисления задатка:</w:t>
            </w:r>
          </w:p>
          <w:p>
            <w:pPr>
              <w:pStyle w:val="Normal"/>
              <w:spacing w:lineRule="auto" w:line="240" w:before="0" w:after="0"/>
              <w:ind w:firstLine="318"/>
              <w:jc w:val="both"/>
              <w:rPr>
                <w:rFonts w:ascii="Calibri" w:hAnsi="Calibri" w:eastAsia="Calibri" w:cs="" w:asciiTheme="minorHAnsi" w:cstheme="minorBidi" w:eastAsiaTheme="minorHAnsi" w:hAnsiTheme="minorHAnsi"/>
                <w:highlight w:val="white"/>
              </w:rPr>
            </w:pPr>
            <w:r>
              <w:rPr>
                <w:rStyle w:val="FontStyle13"/>
                <w:b w:val="false"/>
                <w:i/>
                <w:sz w:val="24"/>
                <w:szCs w:val="24"/>
                <w:highlight w:val="white"/>
              </w:rPr>
              <w:t>ИНН 5262347425, КПП 526201001, УФК по Нижегородской области (ФКУ «ПривЦМТО Росгвардии», лицевой счет 05321</w:t>
            </w:r>
            <w:r>
              <w:rPr>
                <w:rStyle w:val="FontStyle13"/>
                <w:b w:val="false"/>
                <w:i/>
                <w:sz w:val="24"/>
                <w:szCs w:val="24"/>
                <w:highlight w:val="white"/>
                <w:lang w:val="en-US"/>
              </w:rPr>
              <w:t>F</w:t>
            </w:r>
            <w:r>
              <w:rPr>
                <w:rStyle w:val="FontStyle13"/>
                <w:b w:val="false"/>
                <w:i/>
                <w:sz w:val="24"/>
                <w:szCs w:val="24"/>
                <w:highlight w:val="white"/>
              </w:rPr>
              <w:t xml:space="preserve">91110), </w:t>
            </w:r>
            <w:r>
              <w:rPr>
                <w:rStyle w:val="FontStyle13"/>
                <w:b w:val="false"/>
                <w:i/>
                <w:color w:val="000000" w:themeColor="text1"/>
                <w:sz w:val="24"/>
                <w:szCs w:val="24"/>
                <w:highlight w:val="white"/>
              </w:rPr>
              <w:t>Казначейский счет (счет плательщика)  № 0№ 03212643000000013200 ВОЛГО-ВЯТСКО</w:t>
            </w:r>
            <w:r>
              <w:rPr>
                <w:rStyle w:val="FontStyle13"/>
                <w:rFonts w:eastAsia="Times New Roman" w:cs="Times New Roman" w:ascii="Times New Roman" w:hAnsi="Times New Roman"/>
                <w:b w:val="false"/>
                <w:bCs/>
                <w:i/>
                <w:color w:val="000000" w:themeColor="text1"/>
                <w:kern w:val="0"/>
                <w:sz w:val="24"/>
                <w:szCs w:val="24"/>
                <w:highlight w:val="white"/>
                <w:lang w:val="ru-RU" w:eastAsia="ru-RU" w:bidi="ar-SA"/>
              </w:rPr>
              <w:t>Е</w:t>
            </w:r>
            <w:r>
              <w:rPr>
                <w:rStyle w:val="FontStyle13"/>
                <w:b w:val="false"/>
                <w:i/>
                <w:color w:val="000000" w:themeColor="text1"/>
                <w:sz w:val="24"/>
                <w:szCs w:val="24"/>
                <w:highlight w:val="white"/>
              </w:rPr>
              <w:t xml:space="preserve"> ГУ БАНКА РОССИИ//УФК по Нижегородской области г. Нижний Новгород,</w:t>
            </w:r>
            <w:r>
              <w:rPr>
                <w:rStyle w:val="FontStyle13"/>
                <w:b w:val="false"/>
                <w:i/>
                <w:sz w:val="24"/>
                <w:szCs w:val="24"/>
                <w:highlight w:val="white"/>
              </w:rPr>
              <w:t xml:space="preserve"> </w:t>
            </w:r>
            <w:r>
              <w:rPr>
                <w:rStyle w:val="FontStyle13"/>
                <w:b w:val="false"/>
                <w:i/>
                <w:color w:val="000000" w:themeColor="text1"/>
                <w:sz w:val="24"/>
                <w:szCs w:val="24"/>
                <w:highlight w:val="white"/>
              </w:rPr>
              <w:t>Единый казначейский счет (корреспондентский счет) № 40102810745370000024,</w:t>
            </w:r>
            <w:r>
              <w:rPr>
                <w:rStyle w:val="FontStyle13"/>
                <w:b w:val="false"/>
                <w:i/>
                <w:sz w:val="24"/>
                <w:szCs w:val="24"/>
                <w:highlight w:val="white"/>
              </w:rPr>
              <w:t xml:space="preserve">  БИК 012202102</w:t>
            </w:r>
            <w:r>
              <w:rPr>
                <w:rFonts w:cs="Times New Roman" w:ascii="Times New Roman" w:hAnsi="Times New Roman"/>
                <w:i/>
                <w:sz w:val="24"/>
                <w:szCs w:val="24"/>
                <w:highlight w:val="white"/>
              </w:rPr>
              <w:t xml:space="preserve"> Назначение платежа: Задаток для участия в торгах. Извещение №__________ (лот №__________)</w:t>
            </w:r>
          </w:p>
          <w:p>
            <w:pPr>
              <w:pStyle w:val="Normal"/>
              <w:spacing w:lineRule="auto" w:line="240" w:before="0" w:after="0"/>
              <w:ind w:firstLine="318"/>
              <w:jc w:val="both"/>
              <w:rPr>
                <w:rFonts w:ascii="Times New Roman" w:hAnsi="Times New Roman" w:cs="Times New Roman"/>
                <w:sz w:val="24"/>
                <w:szCs w:val="24"/>
                <w:highlight w:val="white"/>
              </w:rPr>
            </w:pPr>
            <w:r>
              <w:rPr>
                <w:rFonts w:cs="Times New Roman" w:ascii="Times New Roman" w:hAnsi="Times New Roman"/>
                <w:sz w:val="24"/>
                <w:szCs w:val="24"/>
                <w:highlight w:val="white"/>
              </w:rPr>
            </w:r>
          </w:p>
        </w:tc>
      </w:tr>
      <w:tr>
        <w:trPr>
          <w:trHeight w:val="3280" w:hRule="atLeast"/>
        </w:trPr>
        <w:tc>
          <w:tcPr>
            <w:tcW w:w="538" w:type="dxa"/>
            <w:tcBorders/>
          </w:tcPr>
          <w:p>
            <w:pPr>
              <w:pStyle w:val="Normal"/>
              <w:spacing w:lineRule="auto" w:line="240" w:before="0" w:after="0"/>
              <w:jc w:val="center"/>
              <w:rPr>
                <w:rFonts w:ascii="Times New Roman" w:hAnsi="Times New Roman" w:cs="Times New Roman"/>
                <w:color w:val="000000" w:themeColor="text1"/>
                <w:sz w:val="24"/>
                <w:szCs w:val="24"/>
              </w:rPr>
            </w:pPr>
            <w:r>
              <w:rPr>
                <w:rFonts w:cs="Times New Roman" w:ascii="Times New Roman" w:hAnsi="Times New Roman"/>
                <w:color w:val="000000" w:themeColor="text1"/>
                <w:sz w:val="24"/>
                <w:szCs w:val="24"/>
              </w:rPr>
              <w:t>8</w:t>
            </w:r>
          </w:p>
        </w:tc>
        <w:tc>
          <w:tcPr>
            <w:tcW w:w="3857" w:type="dxa"/>
            <w:tcBorders/>
          </w:tcPr>
          <w:p>
            <w:pPr>
              <w:pStyle w:val="Normal"/>
              <w:spacing w:lineRule="auto" w:line="240" w:before="0" w:after="0"/>
              <w:rPr>
                <w:rFonts w:ascii="Times New Roman" w:hAnsi="Times New Roman" w:cs="Times New Roman"/>
                <w:color w:val="000000" w:themeColor="text1"/>
                <w:sz w:val="24"/>
                <w:szCs w:val="24"/>
              </w:rPr>
            </w:pPr>
            <w:r>
              <w:rPr>
                <w:rFonts w:cs="Times New Roman" w:ascii="Times New Roman" w:hAnsi="Times New Roman"/>
                <w:color w:val="000000" w:themeColor="text1"/>
                <w:sz w:val="24"/>
                <w:szCs w:val="24"/>
              </w:rPr>
              <w:t>Порядок,  место, даты начала и окончания подачи заявок и предложений на участие в аукционе. Дата определения участников аукциона.</w:t>
            </w:r>
          </w:p>
        </w:tc>
        <w:tc>
          <w:tcPr>
            <w:tcW w:w="5387" w:type="dxa"/>
            <w:tcBorders/>
          </w:tcPr>
          <w:p>
            <w:pPr>
              <w:pStyle w:val="Normal"/>
              <w:spacing w:lineRule="auto" w:line="240" w:before="0" w:after="0"/>
              <w:ind w:firstLine="318"/>
              <w:jc w:val="both"/>
              <w:rPr>
                <w:rFonts w:ascii="Times New Roman" w:hAnsi="Times New Roman" w:cs="Times New Roman"/>
                <w:b/>
                <w:b/>
                <w:sz w:val="24"/>
                <w:szCs w:val="24"/>
              </w:rPr>
            </w:pPr>
            <w:r>
              <w:rPr>
                <w:rFonts w:cs="Times New Roman" w:ascii="Times New Roman" w:hAnsi="Times New Roman"/>
                <w:sz w:val="24"/>
                <w:szCs w:val="24"/>
              </w:rPr>
              <w:t xml:space="preserve">Дата начала подачи заявок: </w:t>
            </w:r>
            <w:r>
              <w:rPr>
                <w:rFonts w:cs="Times New Roman" w:ascii="Times New Roman" w:hAnsi="Times New Roman"/>
                <w:b/>
                <w:sz w:val="24"/>
                <w:szCs w:val="24"/>
              </w:rPr>
              <w:t xml:space="preserve">10 ч 00 мин </w:t>
            </w:r>
            <w:r>
              <w:rPr>
                <w:rFonts w:eastAsia="Calibri" w:cs="Times New Roman" w:ascii="Times New Roman" w:hAnsi="Times New Roman"/>
                <w:b/>
                <w:color w:val="000000"/>
                <w:kern w:val="0"/>
                <w:sz w:val="24"/>
                <w:szCs w:val="24"/>
                <w:lang w:val="ru-RU" w:eastAsia="en-US" w:bidi="ar-SA"/>
              </w:rPr>
              <w:t>24</w:t>
            </w:r>
            <w:r>
              <w:rPr>
                <w:rFonts w:cs="Times New Roman" w:ascii="Times New Roman" w:hAnsi="Times New Roman"/>
                <w:b/>
                <w:color w:val="000000"/>
                <w:sz w:val="24"/>
                <w:szCs w:val="24"/>
              </w:rPr>
              <w:t>.05.2021г. (время московское).</w:t>
            </w:r>
          </w:p>
          <w:p>
            <w:pPr>
              <w:pStyle w:val="Normal"/>
              <w:spacing w:lineRule="auto" w:line="240" w:before="0" w:after="0"/>
              <w:ind w:firstLine="318"/>
              <w:jc w:val="both"/>
              <w:rPr>
                <w:color w:val="000000"/>
              </w:rPr>
            </w:pPr>
            <w:r>
              <w:rPr>
                <w:rFonts w:cs="Times New Roman" w:ascii="Times New Roman" w:hAnsi="Times New Roman"/>
                <w:color w:val="000000"/>
                <w:sz w:val="24"/>
                <w:szCs w:val="24"/>
              </w:rPr>
              <w:t xml:space="preserve">Дата окончания подачи заявок: </w:t>
            </w:r>
            <w:r>
              <w:rPr>
                <w:rFonts w:cs="Times New Roman" w:ascii="Times New Roman" w:hAnsi="Times New Roman"/>
                <w:b/>
                <w:color w:val="000000"/>
                <w:sz w:val="24"/>
                <w:szCs w:val="24"/>
              </w:rPr>
              <w:t xml:space="preserve">10 ч 00 мин </w:t>
            </w:r>
            <w:r>
              <w:rPr>
                <w:rFonts w:eastAsia="Calibri" w:cs="Times New Roman" w:ascii="Times New Roman" w:hAnsi="Times New Roman"/>
                <w:b/>
                <w:color w:val="000000"/>
                <w:kern w:val="0"/>
                <w:sz w:val="24"/>
                <w:szCs w:val="24"/>
                <w:lang w:val="ru-RU" w:eastAsia="en-US" w:bidi="ar-SA"/>
              </w:rPr>
              <w:t>21</w:t>
            </w:r>
            <w:r>
              <w:rPr>
                <w:rFonts w:cs="Times New Roman" w:ascii="Times New Roman" w:hAnsi="Times New Roman"/>
                <w:b/>
                <w:color w:val="000000"/>
                <w:sz w:val="24"/>
                <w:szCs w:val="24"/>
              </w:rPr>
              <w:t xml:space="preserve">.06.2021г. </w:t>
            </w:r>
          </w:p>
          <w:p>
            <w:pPr>
              <w:pStyle w:val="Normal"/>
              <w:spacing w:lineRule="auto" w:line="240" w:before="0" w:after="0"/>
              <w:ind w:firstLine="318"/>
              <w:jc w:val="both"/>
              <w:rPr>
                <w:rFonts w:ascii="Times New Roman" w:hAnsi="Times New Roman" w:cs="Times New Roman"/>
                <w:sz w:val="24"/>
                <w:szCs w:val="24"/>
              </w:rPr>
            </w:pPr>
            <w:r>
              <w:rPr>
                <w:rFonts w:cs="Times New Roman" w:ascii="Times New Roman" w:hAnsi="Times New Roman"/>
                <w:b/>
                <w:sz w:val="24"/>
                <w:szCs w:val="24"/>
              </w:rPr>
              <w:t xml:space="preserve">Место подачи заявок и предложений: </w:t>
            </w:r>
            <w:r>
              <w:rPr>
                <w:rFonts w:cs="Times New Roman" w:ascii="Times New Roman" w:hAnsi="Times New Roman"/>
                <w:sz w:val="24"/>
                <w:szCs w:val="24"/>
              </w:rPr>
              <w:t>Электронная Торговая Площадка Группы Газпромбанка.</w:t>
            </w:r>
          </w:p>
          <w:p>
            <w:pPr>
              <w:pStyle w:val="Normal"/>
              <w:spacing w:lineRule="auto" w:line="240" w:before="0" w:after="0"/>
              <w:ind w:firstLine="318"/>
              <w:jc w:val="both"/>
              <w:rPr>
                <w:rFonts w:ascii="Times New Roman" w:hAnsi="Times New Roman" w:cs="Times New Roman"/>
                <w:sz w:val="24"/>
                <w:szCs w:val="24"/>
              </w:rPr>
            </w:pPr>
            <w:r>
              <w:rPr>
                <w:rFonts w:cs="Times New Roman" w:ascii="Times New Roman" w:hAnsi="Times New Roman"/>
                <w:color w:val="22272F"/>
                <w:sz w:val="24"/>
                <w:szCs w:val="24"/>
                <w:shd w:fill="FFFFFF" w:val="clear"/>
              </w:rPr>
              <w:t>Для участия в продаже имущества на аукционе претенденты перечисляют задаток в размере 20 процентов начальной цены продажи имущества в счет обеспечения оплаты приобретаемого имущества и заполняют размещенную в открытой части электронной площадки форму</w:t>
            </w:r>
            <w:r>
              <w:rPr>
                <w:rStyle w:val="Appleconvertedspace"/>
                <w:rFonts w:cs="Times New Roman" w:ascii="Times New Roman" w:hAnsi="Times New Roman"/>
                <w:color w:val="22272F"/>
                <w:sz w:val="24"/>
                <w:szCs w:val="24"/>
                <w:shd w:fill="FFFFFF" w:val="clear"/>
              </w:rPr>
              <w:t> </w:t>
            </w:r>
            <w:r>
              <w:rPr>
                <w:rFonts w:cs="Times New Roman" w:ascii="Times New Roman" w:hAnsi="Times New Roman"/>
                <w:color w:val="22272F"/>
                <w:sz w:val="24"/>
                <w:szCs w:val="24"/>
                <w:shd w:fill="FFFFFF" w:val="clear"/>
              </w:rPr>
              <w:t>заявки</w:t>
            </w:r>
            <w:r>
              <w:rPr>
                <w:rStyle w:val="Appleconvertedspace"/>
                <w:rFonts w:cs="Times New Roman" w:ascii="Times New Roman" w:hAnsi="Times New Roman"/>
                <w:color w:val="22272F"/>
                <w:sz w:val="24"/>
                <w:szCs w:val="24"/>
                <w:shd w:fill="FFFFFF" w:val="clear"/>
              </w:rPr>
              <w:t> </w:t>
            </w:r>
            <w:r>
              <w:rPr>
                <w:rFonts w:cs="Times New Roman" w:ascii="Times New Roman" w:hAnsi="Times New Roman"/>
                <w:color w:val="22272F"/>
                <w:sz w:val="24"/>
                <w:szCs w:val="24"/>
                <w:shd w:fill="FFFFFF" w:val="clear"/>
              </w:rPr>
              <w:t>с приложением электронных документов в соответствии с перечнем, приведенным в информационном сообщении о проведении аукциона.</w:t>
            </w:r>
            <w:r>
              <w:rPr>
                <w:rFonts w:cs="Times New Roman" w:ascii="Times New Roman" w:hAnsi="Times New Roman"/>
                <w:sz w:val="24"/>
                <w:szCs w:val="24"/>
              </w:rPr>
              <w:t xml:space="preserve"> Претендент в праве подать только одну заявку.</w:t>
            </w:r>
          </w:p>
          <w:p>
            <w:pPr>
              <w:pStyle w:val="Normal"/>
              <w:spacing w:lineRule="auto" w:line="240" w:before="0" w:after="0"/>
              <w:ind w:firstLine="318"/>
              <w:jc w:val="both"/>
              <w:rPr>
                <w:rFonts w:ascii="Times New Roman" w:hAnsi="Times New Roman" w:cs="Times New Roman"/>
                <w:sz w:val="24"/>
                <w:szCs w:val="24"/>
              </w:rPr>
            </w:pPr>
            <w:r>
              <w:rPr>
                <w:rFonts w:cs="Times New Roman" w:ascii="Times New Roman" w:hAnsi="Times New Roman"/>
                <w:sz w:val="24"/>
                <w:szCs w:val="24"/>
              </w:rPr>
              <w:t>Порядок регистрации на ЭТП и правила проведения продажи на аукционе в электронной форме – в соответствии с порядком установленным постановлением Правительства РФ от 27 августа 2012 г. N 860.</w:t>
            </w:r>
          </w:p>
          <w:p>
            <w:pPr>
              <w:pStyle w:val="Normal"/>
              <w:spacing w:lineRule="auto" w:line="240" w:before="0" w:after="0"/>
              <w:ind w:firstLine="318"/>
              <w:jc w:val="both"/>
              <w:rPr>
                <w:rFonts w:ascii="Times New Roman" w:hAnsi="Times New Roman" w:cs="Times New Roman"/>
                <w:b/>
                <w:b/>
                <w:color w:val="FF0000"/>
                <w:sz w:val="24"/>
                <w:szCs w:val="24"/>
              </w:rPr>
            </w:pPr>
            <w:r>
              <w:rPr>
                <w:rFonts w:cs="Times New Roman" w:ascii="Times New Roman" w:hAnsi="Times New Roman"/>
                <w:b/>
                <w:sz w:val="24"/>
                <w:szCs w:val="24"/>
              </w:rPr>
              <w:t xml:space="preserve">Дата определения участников аукциона: </w:t>
            </w:r>
            <w:r>
              <w:rPr>
                <w:rFonts w:eastAsia="Calibri" w:cs="Times New Roman" w:ascii="Times New Roman" w:hAnsi="Times New Roman" w:eastAsiaTheme="minorHAnsi"/>
                <w:b/>
                <w:color w:val="auto"/>
                <w:kern w:val="0"/>
                <w:sz w:val="24"/>
                <w:szCs w:val="24"/>
                <w:lang w:val="ru-RU" w:eastAsia="en-US" w:bidi="ar-SA"/>
              </w:rPr>
              <w:t>24.06</w:t>
            </w:r>
            <w:r>
              <w:rPr>
                <w:rFonts w:cs="Times New Roman" w:ascii="Times New Roman" w:hAnsi="Times New Roman"/>
                <w:b/>
                <w:sz w:val="24"/>
                <w:szCs w:val="24"/>
              </w:rPr>
              <w:t>.2020г.</w:t>
            </w:r>
          </w:p>
        </w:tc>
      </w:tr>
      <w:tr>
        <w:trPr/>
        <w:tc>
          <w:tcPr>
            <w:tcW w:w="538" w:type="dxa"/>
            <w:tcBorders/>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9</w:t>
            </w:r>
          </w:p>
        </w:tc>
        <w:tc>
          <w:tcPr>
            <w:tcW w:w="3857" w:type="dxa"/>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Исчерпывающий перечень представляемых участниками торгов документов и требования к их оформлению</w:t>
            </w:r>
          </w:p>
        </w:tc>
        <w:tc>
          <w:tcPr>
            <w:tcW w:w="5387" w:type="dxa"/>
            <w:tcBorders/>
          </w:tcPr>
          <w:p>
            <w:pPr>
              <w:pStyle w:val="Normal"/>
              <w:spacing w:lineRule="auto" w:line="240" w:before="0" w:after="0"/>
              <w:ind w:firstLine="318"/>
              <w:jc w:val="both"/>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Одновременно с заявкой (по форме ЭТП, а для прикрепления в виде электронного документа – по форме указанной в Приложении № 3) претенденты представляют  следующие документы в форме электронных документов (документов оформленных на бумажном носителе, переведенных в электронно-цифровую форму путем сканирования с сохранением их реквизитов), путем размещения на торговой площадке:</w:t>
            </w:r>
          </w:p>
          <w:p>
            <w:pPr>
              <w:pStyle w:val="Normal"/>
              <w:spacing w:lineRule="auto" w:line="240" w:before="0" w:after="0"/>
              <w:ind w:firstLine="318"/>
              <w:jc w:val="both"/>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1. Юридические лица:</w:t>
            </w:r>
          </w:p>
          <w:p>
            <w:pPr>
              <w:pStyle w:val="Normal"/>
              <w:spacing w:lineRule="auto" w:line="240" w:before="0" w:after="0"/>
              <w:ind w:firstLine="318"/>
              <w:jc w:val="both"/>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 заверенные копии учредительных документов;</w:t>
            </w:r>
          </w:p>
          <w:p>
            <w:pPr>
              <w:pStyle w:val="Normal"/>
              <w:spacing w:lineRule="auto" w:line="240" w:before="0" w:after="0"/>
              <w:ind w:firstLine="318"/>
              <w:jc w:val="both"/>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 документ, содержащий сведения о доле Российской Федерации, субъекта Российской Федерации или муниципального образования в уставном капитале юридического лица (реестр владельцев акций либо выписка из него или заверенное печатью юридического лица (при наличии печати) и подписанное его руководителем письмо);</w:t>
            </w:r>
          </w:p>
          <w:p>
            <w:pPr>
              <w:pStyle w:val="Normal"/>
              <w:spacing w:lineRule="auto" w:line="240" w:before="0" w:after="0"/>
              <w:ind w:firstLine="318"/>
              <w:jc w:val="both"/>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 документ, который подтверждает полномочия руководителя юридического лица на осуществление действий от имени юридического лица (копия решения о назначении этого лица или о его избрании) и в соответствии с которым руководитель юридического лица обладает правом действовать от имени юридического лица без доверенности.</w:t>
            </w:r>
          </w:p>
          <w:p>
            <w:pPr>
              <w:pStyle w:val="Normal"/>
              <w:spacing w:lineRule="auto" w:line="240" w:before="0" w:after="0"/>
              <w:ind w:firstLine="318"/>
              <w:jc w:val="both"/>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2. Физические лица представляют копии всех листов документа, удостоверяющий личность.</w:t>
            </w:r>
          </w:p>
          <w:p>
            <w:pPr>
              <w:pStyle w:val="Normal"/>
              <w:spacing w:lineRule="auto" w:line="240" w:before="0" w:after="0"/>
              <w:ind w:firstLine="318"/>
              <w:jc w:val="both"/>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 xml:space="preserve">В случае если от имени претендента действует его представитель по доверенности, к заявке должна быть приложена доверенность на осуществление действий от имени претендента, оформленная в установленном порядке. При этом предоставляются копии всех листов документа, удостоверяющий личность доверенного лица. </w:t>
            </w:r>
          </w:p>
          <w:p>
            <w:pPr>
              <w:pStyle w:val="Normal"/>
              <w:spacing w:lineRule="auto" w:line="240" w:before="0" w:after="0"/>
              <w:ind w:firstLine="318"/>
              <w:jc w:val="both"/>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В случае, если доверенность на осуществление действий от имени претендента подписана лицом, уполномоченным руководителем юридического лица, заявка должна содержать также документ, подтверждающий полномочия этого лица. При этом предоставляются копии всех листов документа, удостоверяющего личность доверенного лица.</w:t>
            </w:r>
          </w:p>
          <w:p>
            <w:pPr>
              <w:pStyle w:val="Normal"/>
              <w:spacing w:lineRule="auto" w:line="240" w:before="0" w:after="0"/>
              <w:ind w:firstLine="318"/>
              <w:jc w:val="both"/>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Для юридических и физических лиц – платёжный документ с отметкой банка о перечислении задатка продавцу для обеспечения  участия в данном аукционе.</w:t>
            </w:r>
          </w:p>
        </w:tc>
      </w:tr>
      <w:tr>
        <w:trPr/>
        <w:tc>
          <w:tcPr>
            <w:tcW w:w="538" w:type="dxa"/>
            <w:tcBorders/>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10</w:t>
            </w:r>
          </w:p>
        </w:tc>
        <w:tc>
          <w:tcPr>
            <w:tcW w:w="3857" w:type="dxa"/>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Основания для отказа претенденту участвовать в аукционе</w:t>
            </w:r>
          </w:p>
        </w:tc>
        <w:tc>
          <w:tcPr>
            <w:tcW w:w="5387" w:type="dxa"/>
            <w:tcBorders/>
          </w:tcPr>
          <w:p>
            <w:pPr>
              <w:pStyle w:val="ListParagraph"/>
              <w:spacing w:lineRule="auto" w:line="240" w:before="0" w:after="0"/>
              <w:ind w:left="34" w:firstLine="318"/>
              <w:contextualSpacing/>
              <w:jc w:val="both"/>
              <w:rPr>
                <w:rFonts w:ascii="Times New Roman" w:hAnsi="Times New Roman" w:cs="Times New Roman"/>
                <w:sz w:val="24"/>
                <w:szCs w:val="24"/>
              </w:rPr>
            </w:pPr>
            <w:r>
              <w:rPr>
                <w:rFonts w:cs="Times New Roman" w:ascii="Times New Roman" w:hAnsi="Times New Roman"/>
                <w:sz w:val="24"/>
                <w:szCs w:val="24"/>
              </w:rPr>
              <w:t>В соответствии с Федеральным законом от 21.12.2001г. № 178-ФЗ «О приватизации государственного и муниципального имущества».</w:t>
            </w:r>
          </w:p>
        </w:tc>
      </w:tr>
      <w:tr>
        <w:trPr/>
        <w:tc>
          <w:tcPr>
            <w:tcW w:w="538" w:type="dxa"/>
            <w:tcBorders/>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11</w:t>
            </w:r>
          </w:p>
        </w:tc>
        <w:tc>
          <w:tcPr>
            <w:tcW w:w="3857" w:type="dxa"/>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Срок заключения договора купли-продажи имущества</w:t>
            </w:r>
          </w:p>
        </w:tc>
        <w:tc>
          <w:tcPr>
            <w:tcW w:w="5387" w:type="dxa"/>
            <w:tcBorders/>
          </w:tcPr>
          <w:p>
            <w:pPr>
              <w:pStyle w:val="Normal"/>
              <w:spacing w:lineRule="auto" w:line="240" w:before="0" w:after="0"/>
              <w:ind w:firstLine="318"/>
              <w:jc w:val="both"/>
              <w:rPr>
                <w:rFonts w:ascii="Times New Roman" w:hAnsi="Times New Roman" w:cs="Times New Roman"/>
                <w:sz w:val="24"/>
                <w:szCs w:val="24"/>
              </w:rPr>
            </w:pPr>
            <w:r>
              <w:rPr>
                <w:rFonts w:cs="Times New Roman" w:ascii="Times New Roman" w:hAnsi="Times New Roman"/>
                <w:sz w:val="24"/>
                <w:szCs w:val="24"/>
              </w:rPr>
              <w:t>В течении 5 рабочих дней с даты подведения итогов аукциона.</w:t>
            </w:r>
          </w:p>
        </w:tc>
      </w:tr>
      <w:tr>
        <w:trPr/>
        <w:tc>
          <w:tcPr>
            <w:tcW w:w="538" w:type="dxa"/>
            <w:tcBorders/>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12</w:t>
            </w:r>
          </w:p>
        </w:tc>
        <w:tc>
          <w:tcPr>
            <w:tcW w:w="3857" w:type="dxa"/>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Порядок ознакомления покупателей с иной информацией, условиями договора купли-продажи имущества</w:t>
            </w:r>
          </w:p>
        </w:tc>
        <w:tc>
          <w:tcPr>
            <w:tcW w:w="5387" w:type="dxa"/>
            <w:tcBorders/>
          </w:tcPr>
          <w:p>
            <w:pPr>
              <w:pStyle w:val="Normal"/>
              <w:spacing w:lineRule="auto" w:line="240" w:before="0" w:after="0"/>
              <w:ind w:firstLine="318"/>
              <w:jc w:val="both"/>
              <w:rPr>
                <w:rFonts w:ascii="Times New Roman" w:hAnsi="Times New Roman" w:cs="Times New Roman"/>
                <w:sz w:val="24"/>
                <w:szCs w:val="24"/>
              </w:rPr>
            </w:pPr>
            <w:r>
              <w:rPr>
                <w:rFonts w:cs="Times New Roman" w:ascii="Times New Roman" w:hAnsi="Times New Roman"/>
                <w:sz w:val="24"/>
                <w:szCs w:val="24"/>
              </w:rPr>
              <w:t>Участники закупки вправе направить запрос по интересующей дополнительной информации через электронную площадку.</w:t>
            </w:r>
          </w:p>
        </w:tc>
      </w:tr>
      <w:tr>
        <w:trPr/>
        <w:tc>
          <w:tcPr>
            <w:tcW w:w="538" w:type="dxa"/>
            <w:tcBorders/>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13</w:t>
            </w:r>
          </w:p>
        </w:tc>
        <w:tc>
          <w:tcPr>
            <w:tcW w:w="3857" w:type="dxa"/>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Ограничения участия отдельных категорий физических лиц и юридических лиц в приватизации имущества</w:t>
            </w:r>
          </w:p>
        </w:tc>
        <w:tc>
          <w:tcPr>
            <w:tcW w:w="5387" w:type="dxa"/>
            <w:tcBorders/>
          </w:tcPr>
          <w:p>
            <w:pPr>
              <w:pStyle w:val="Normal"/>
              <w:spacing w:lineRule="auto" w:line="240" w:before="0" w:after="0"/>
              <w:ind w:firstLine="318"/>
              <w:jc w:val="both"/>
              <w:rPr>
                <w:rFonts w:ascii="Times New Roman" w:hAnsi="Times New Roman" w:cs="Times New Roman"/>
                <w:sz w:val="24"/>
                <w:szCs w:val="24"/>
              </w:rPr>
            </w:pPr>
            <w:r>
              <w:rPr>
                <w:rFonts w:cs="Times New Roman" w:ascii="Times New Roman" w:hAnsi="Times New Roman"/>
                <w:sz w:val="24"/>
                <w:szCs w:val="24"/>
              </w:rPr>
              <w:t>В соответствии со статьей 5  Федерального закона от 21.12.2001г. № 178-ФЗ «О приватизации государственного и муниципального имущества».</w:t>
            </w:r>
          </w:p>
        </w:tc>
      </w:tr>
      <w:tr>
        <w:trPr/>
        <w:tc>
          <w:tcPr>
            <w:tcW w:w="538" w:type="dxa"/>
            <w:tcBorders/>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14</w:t>
            </w:r>
          </w:p>
        </w:tc>
        <w:tc>
          <w:tcPr>
            <w:tcW w:w="3857" w:type="dxa"/>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Порядок определения победителей при проведении аукциона</w:t>
            </w:r>
          </w:p>
        </w:tc>
        <w:tc>
          <w:tcPr>
            <w:tcW w:w="5387" w:type="dxa"/>
            <w:tcBorders/>
          </w:tcPr>
          <w:p>
            <w:pPr>
              <w:pStyle w:val="Normal"/>
              <w:spacing w:lineRule="auto" w:line="240" w:before="0" w:after="0"/>
              <w:ind w:firstLine="318"/>
              <w:jc w:val="both"/>
              <w:rPr>
                <w:rFonts w:ascii="Times New Roman" w:hAnsi="Times New Roman" w:cs="Times New Roman"/>
                <w:sz w:val="24"/>
                <w:szCs w:val="24"/>
              </w:rPr>
            </w:pPr>
            <w:r>
              <w:rPr>
                <w:rFonts w:cs="Times New Roman" w:ascii="Times New Roman" w:hAnsi="Times New Roman"/>
                <w:sz w:val="24"/>
                <w:szCs w:val="24"/>
              </w:rPr>
              <w:t>Победитель аукциона определяется в порядке, определенном Постановлением Правительства РФ от 27 августа 2012 г. № 860 "Об организации и проведении продажи государственного или муниципального имущества в электронной форме".</w:t>
            </w:r>
          </w:p>
        </w:tc>
      </w:tr>
      <w:tr>
        <w:trPr/>
        <w:tc>
          <w:tcPr>
            <w:tcW w:w="538" w:type="dxa"/>
            <w:tcBorders/>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15</w:t>
            </w:r>
          </w:p>
        </w:tc>
        <w:tc>
          <w:tcPr>
            <w:tcW w:w="3857" w:type="dxa"/>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Место и срок проведения аукциона по продаже государственного имущества. Дата подведения итогов аукциона.</w:t>
            </w:r>
          </w:p>
        </w:tc>
        <w:tc>
          <w:tcPr>
            <w:tcW w:w="5387" w:type="dxa"/>
            <w:tcBorders/>
          </w:tcPr>
          <w:p>
            <w:pPr>
              <w:pStyle w:val="Normal"/>
              <w:spacing w:lineRule="auto" w:line="240" w:before="0" w:after="0"/>
              <w:ind w:firstLine="318"/>
              <w:jc w:val="both"/>
              <w:rPr>
                <w:rFonts w:ascii="Times New Roman" w:hAnsi="Times New Roman" w:cs="Times New Roman"/>
                <w:sz w:val="24"/>
                <w:szCs w:val="24"/>
              </w:rPr>
            </w:pPr>
            <w:r>
              <w:rPr>
                <w:rFonts w:cs="Times New Roman" w:ascii="Times New Roman" w:hAnsi="Times New Roman"/>
                <w:sz w:val="24"/>
                <w:szCs w:val="24"/>
              </w:rPr>
              <w:t>Место проведения торгов: электронная площадка Электронная Торговая Площадка Группы Газпромбанка.</w:t>
            </w:r>
          </w:p>
          <w:p>
            <w:pPr>
              <w:pStyle w:val="Normal"/>
              <w:spacing w:lineRule="auto" w:line="240" w:before="0" w:after="0"/>
              <w:ind w:firstLine="318"/>
              <w:jc w:val="both"/>
              <w:rPr>
                <w:rFonts w:ascii="Times New Roman" w:hAnsi="Times New Roman" w:cs="Times New Roman"/>
                <w:b/>
                <w:b/>
                <w:sz w:val="24"/>
                <w:szCs w:val="24"/>
              </w:rPr>
            </w:pPr>
            <w:r>
              <w:rPr>
                <w:rFonts w:cs="Times New Roman" w:ascii="Times New Roman" w:hAnsi="Times New Roman"/>
                <w:b/>
                <w:sz w:val="24"/>
                <w:szCs w:val="24"/>
              </w:rPr>
              <w:t xml:space="preserve">Время и дата проведения торгов (электронного аукциона): 10 ч 00 мин </w:t>
            </w:r>
            <w:r>
              <w:rPr>
                <w:rFonts w:eastAsia="Calibri" w:cs="Times New Roman" w:ascii="Times New Roman" w:hAnsi="Times New Roman" w:eastAsiaTheme="minorHAnsi"/>
                <w:b/>
                <w:color w:val="auto"/>
                <w:kern w:val="0"/>
                <w:sz w:val="24"/>
                <w:szCs w:val="24"/>
                <w:lang w:val="ru-RU" w:eastAsia="en-US" w:bidi="ar-SA"/>
              </w:rPr>
              <w:t>25</w:t>
            </w:r>
            <w:r>
              <w:rPr>
                <w:rFonts w:cs="Times New Roman" w:ascii="Times New Roman" w:hAnsi="Times New Roman"/>
                <w:b/>
                <w:sz w:val="24"/>
                <w:szCs w:val="24"/>
              </w:rPr>
              <w:t>.06.2021г. (время московское).</w:t>
            </w:r>
          </w:p>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b/>
                <w:sz w:val="24"/>
                <w:szCs w:val="24"/>
              </w:rPr>
              <w:t xml:space="preserve">Подведение итогов аукциона: </w:t>
            </w:r>
            <w:r>
              <w:rPr>
                <w:rFonts w:eastAsia="Calibri" w:cs="Times New Roman" w:ascii="Times New Roman" w:hAnsi="Times New Roman" w:eastAsiaTheme="minorHAnsi"/>
                <w:b/>
                <w:color w:val="auto"/>
                <w:kern w:val="0"/>
                <w:sz w:val="24"/>
                <w:szCs w:val="24"/>
                <w:lang w:val="ru-RU" w:eastAsia="en-US" w:bidi="ar-SA"/>
              </w:rPr>
              <w:t>25</w:t>
            </w:r>
            <w:r>
              <w:rPr>
                <w:rFonts w:cs="Times New Roman" w:ascii="Times New Roman" w:hAnsi="Times New Roman"/>
                <w:b/>
                <w:sz w:val="24"/>
                <w:szCs w:val="24"/>
              </w:rPr>
              <w:t>.06.2021г</w:t>
            </w:r>
            <w:r>
              <w:rPr>
                <w:rFonts w:cs="Times New Roman" w:ascii="Times New Roman" w:hAnsi="Times New Roman"/>
                <w:sz w:val="24"/>
                <w:szCs w:val="24"/>
              </w:rPr>
              <w:t>.</w:t>
            </w:r>
          </w:p>
        </w:tc>
      </w:tr>
      <w:tr>
        <w:trPr/>
        <w:tc>
          <w:tcPr>
            <w:tcW w:w="538" w:type="dxa"/>
            <w:tcBorders/>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16</w:t>
            </w:r>
          </w:p>
        </w:tc>
        <w:tc>
          <w:tcPr>
            <w:tcW w:w="3857" w:type="dxa"/>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Размер и порядок вознаграждения продавца</w:t>
            </w:r>
          </w:p>
        </w:tc>
        <w:tc>
          <w:tcPr>
            <w:tcW w:w="5387" w:type="dxa"/>
            <w:tcBorders/>
          </w:tcPr>
          <w:p>
            <w:pPr>
              <w:pStyle w:val="Normal"/>
              <w:spacing w:lineRule="auto" w:line="240" w:before="0" w:after="0"/>
              <w:ind w:firstLine="318"/>
              <w:jc w:val="both"/>
              <w:rPr>
                <w:rFonts w:ascii="Times New Roman" w:hAnsi="Times New Roman" w:cs="Times New Roman"/>
                <w:sz w:val="24"/>
                <w:szCs w:val="24"/>
                <w:highlight w:val="cyan"/>
              </w:rPr>
            </w:pPr>
            <w:r>
              <w:rPr>
                <w:rFonts w:cs="Times New Roman" w:ascii="Times New Roman" w:hAnsi="Times New Roman"/>
                <w:sz w:val="24"/>
                <w:szCs w:val="24"/>
              </w:rPr>
              <w:t>Вознаграждение не предусмотрено.</w:t>
            </w:r>
          </w:p>
        </w:tc>
      </w:tr>
      <w:tr>
        <w:trPr/>
        <w:tc>
          <w:tcPr>
            <w:tcW w:w="538" w:type="dxa"/>
            <w:tcBorders/>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17</w:t>
            </w:r>
          </w:p>
        </w:tc>
        <w:tc>
          <w:tcPr>
            <w:tcW w:w="3857" w:type="dxa"/>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Сведения обо всех предыдущих торгах по продаже имущества, объявленных в течение года, предшествующего его продаже, и об итогах торгов по продаже имущества</w:t>
            </w:r>
          </w:p>
        </w:tc>
        <w:tc>
          <w:tcPr>
            <w:tcW w:w="5387" w:type="dxa"/>
            <w:tcBorders/>
          </w:tcPr>
          <w:p>
            <w:pPr>
              <w:pStyle w:val="Normal"/>
              <w:spacing w:lineRule="auto" w:line="240" w:before="0" w:after="0"/>
              <w:ind w:firstLine="318"/>
              <w:jc w:val="both"/>
              <w:rPr>
                <w:rFonts w:ascii="Times New Roman" w:hAnsi="Times New Roman" w:cs="Times New Roman"/>
                <w:sz w:val="24"/>
                <w:szCs w:val="24"/>
              </w:rPr>
            </w:pPr>
            <w:r>
              <w:rPr>
                <w:rFonts w:cs="Times New Roman" w:ascii="Times New Roman" w:hAnsi="Times New Roman"/>
                <w:sz w:val="24"/>
                <w:szCs w:val="24"/>
              </w:rPr>
              <w:t>Указанное в Приложении №1 имущество выставляется на продажу впервые.</w:t>
            </w:r>
          </w:p>
        </w:tc>
      </w:tr>
    </w:tbl>
    <w:p>
      <w:pPr>
        <w:pStyle w:val="Normal"/>
        <w:spacing w:lineRule="auto" w:line="240" w:before="0" w:after="0"/>
        <w:ind w:left="-426" w:firstLine="709"/>
        <w:jc w:val="both"/>
        <w:rPr>
          <w:rFonts w:ascii="Times New Roman" w:hAnsi="Times New Roman" w:cs="Times New Roman"/>
          <w:sz w:val="24"/>
          <w:szCs w:val="24"/>
        </w:rPr>
      </w:pPr>
      <w:r>
        <w:rPr>
          <w:rFonts w:cs="Times New Roman" w:ascii="Times New Roman" w:hAnsi="Times New Roman"/>
          <w:sz w:val="24"/>
          <w:szCs w:val="24"/>
        </w:rPr>
        <w:t>Примечание: Данное сообщение является публичной офертой для заключения договора о задатке в соответствии со статьей 437 Гражданского кодекса РФ, а подача претендентом заявки и перечисление задатка являются акцептом такой оферты, после чего договор о задатке считается заключенным в письменной форме.</w:t>
      </w:r>
    </w:p>
    <w:p>
      <w:pPr>
        <w:pStyle w:val="Normal"/>
        <w:spacing w:lineRule="auto" w:line="240" w:before="0" w:after="0"/>
        <w:ind w:left="-426" w:firstLine="709"/>
        <w:jc w:val="both"/>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426" w:firstLine="709"/>
        <w:jc w:val="both"/>
        <w:rPr>
          <w:rFonts w:ascii="Times New Roman" w:hAnsi="Times New Roman" w:cs="Times New Roman"/>
          <w:sz w:val="24"/>
          <w:szCs w:val="24"/>
        </w:rPr>
      </w:pPr>
      <w:r>
        <w:rPr>
          <w:rFonts w:cs="Times New Roman" w:ascii="Times New Roman" w:hAnsi="Times New Roman"/>
          <w:sz w:val="24"/>
          <w:szCs w:val="24"/>
        </w:rPr>
        <w:t>Приложение:</w:t>
      </w:r>
    </w:p>
    <w:p>
      <w:pPr>
        <w:pStyle w:val="ListParagraph"/>
        <w:numPr>
          <w:ilvl w:val="0"/>
          <w:numId w:val="1"/>
        </w:numPr>
        <w:spacing w:lineRule="auto" w:line="240" w:before="0" w:after="0"/>
        <w:contextualSpacing/>
        <w:jc w:val="both"/>
        <w:rPr>
          <w:rFonts w:ascii="Times New Roman" w:hAnsi="Times New Roman" w:cs="Times New Roman"/>
          <w:sz w:val="24"/>
          <w:szCs w:val="24"/>
        </w:rPr>
      </w:pPr>
      <w:r>
        <w:rPr>
          <w:rFonts w:cs="Times New Roman" w:ascii="Times New Roman" w:hAnsi="Times New Roman"/>
          <w:sz w:val="24"/>
          <w:szCs w:val="24"/>
        </w:rPr>
        <w:t>Перечень движимого военного имущества, подлежащий продаже на аукционе.</w:t>
      </w:r>
    </w:p>
    <w:p>
      <w:pPr>
        <w:pStyle w:val="ListParagraph"/>
        <w:numPr>
          <w:ilvl w:val="0"/>
          <w:numId w:val="1"/>
        </w:numPr>
        <w:spacing w:lineRule="auto" w:line="240" w:before="0" w:after="0"/>
        <w:contextualSpacing/>
        <w:jc w:val="both"/>
        <w:rPr>
          <w:rFonts w:ascii="Times New Roman" w:hAnsi="Times New Roman" w:cs="Times New Roman"/>
          <w:sz w:val="24"/>
          <w:szCs w:val="24"/>
        </w:rPr>
      </w:pPr>
      <w:r>
        <w:rPr>
          <w:rFonts w:cs="Times New Roman" w:ascii="Times New Roman" w:hAnsi="Times New Roman"/>
          <w:sz w:val="24"/>
          <w:szCs w:val="24"/>
        </w:rPr>
        <w:t>Проект договора купли-продажи движимого военного имущества.</w:t>
      </w:r>
    </w:p>
    <w:p>
      <w:pPr>
        <w:pStyle w:val="ListParagraph"/>
        <w:numPr>
          <w:ilvl w:val="0"/>
          <w:numId w:val="1"/>
        </w:numPr>
        <w:spacing w:lineRule="auto" w:line="240" w:before="0" w:after="0"/>
        <w:contextualSpacing/>
        <w:jc w:val="both"/>
        <w:rPr>
          <w:rFonts w:ascii="Times New Roman" w:hAnsi="Times New Roman" w:cs="Times New Roman"/>
          <w:sz w:val="24"/>
          <w:szCs w:val="24"/>
        </w:rPr>
      </w:pPr>
      <w:r>
        <w:rPr>
          <w:rFonts w:cs="Times New Roman" w:ascii="Times New Roman" w:hAnsi="Times New Roman"/>
          <w:sz w:val="24"/>
          <w:szCs w:val="24"/>
        </w:rPr>
        <w:t>Заявка на участие в аукционе (рекомендуемая форма).</w:t>
      </w:r>
    </w:p>
    <w:p>
      <w:pPr>
        <w:pStyle w:val="ListParagraph"/>
        <w:spacing w:lineRule="auto" w:line="240" w:before="0" w:after="0"/>
        <w:ind w:left="643" w:hanging="0"/>
        <w:contextualSpacing/>
        <w:jc w:val="both"/>
        <w:rPr>
          <w:rFonts w:ascii="Times New Roman" w:hAnsi="Times New Roman" w:cs="Times New Roman"/>
          <w:sz w:val="24"/>
          <w:szCs w:val="24"/>
        </w:rPr>
      </w:pPr>
      <w:r>
        <w:rPr/>
      </w:r>
    </w:p>
    <w:sectPr>
      <w:headerReference w:type="default" r:id="rId2"/>
      <w:type w:val="nextPage"/>
      <w:pgSz w:w="11906" w:h="16838"/>
      <w:pgMar w:left="1701" w:right="850" w:header="708" w:top="851" w:footer="0" w:bottom="1134" w:gutter="0"/>
      <w:pgNumType w:fmt="decimal"/>
      <w:formProt w:val="false"/>
      <w:titlePg/>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default"/>
  </w:font>
  <w:font w:name="Tahoma">
    <w:charset w:val="01"/>
    <w:family w:val="roman"/>
    <w:pitch w:val="default"/>
  </w:font>
  <w:font w:name="Times New Roman">
    <w:charset w:val="01"/>
    <w:family w:val="roman"/>
    <w:pitch w:val="default"/>
  </w:font>
  <w:font w:name="PT Astra Serif">
    <w:charset w:val="01"/>
    <w:family w:val="roman"/>
    <w:pitch w:val="default"/>
  </w:font>
  <w:font w:name="Arial">
    <w:charset w:val="01"/>
    <w:family w:val="roman"/>
    <w:pitch w:val="default"/>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sdt>
    <w:sdtPr>
      <w:docPartObj>
        <w:docPartGallery w:val="Page Numbers (Top of Page)"/>
        <w:docPartUnique w:val="true"/>
      </w:docPartObj>
      <w:id w:val="2014634325"/>
    </w:sdtPr>
    <w:sdtContent>
      <w:p>
        <w:pPr>
          <w:pStyle w:val="Style23"/>
          <w:jc w:val="right"/>
          <w:rPr/>
        </w:pPr>
        <w:r>
          <w:rPr/>
          <w:fldChar w:fldCharType="begin"/>
        </w:r>
        <w:r>
          <w:rPr/>
          <w:instrText> PAGE </w:instrText>
        </w:r>
        <w:r>
          <w:rPr/>
          <w:fldChar w:fldCharType="separate"/>
        </w:r>
        <w:r>
          <w:rPr/>
          <w:t>0</w:t>
        </w:r>
        <w:r>
          <w:rPr/>
          <w:fldChar w:fldCharType="end"/>
        </w:r>
      </w:p>
    </w:sdtContent>
  </w:sdt>
  <w:p>
    <w:pPr>
      <w:pStyle w:val="Style23"/>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decimal"/>
      <w:lvlText w:val="%1."/>
      <w:lvlJc w:val="left"/>
      <w:pPr>
        <w:ind w:left="643" w:hanging="360"/>
      </w:pPr>
    </w:lvl>
    <w:lvl w:ilvl="1">
      <w:start w:val="1"/>
      <w:numFmt w:val="lowerLetter"/>
      <w:lvlText w:val="%2."/>
      <w:lvlJc w:val="left"/>
      <w:pPr>
        <w:ind w:left="1363" w:hanging="360"/>
      </w:pPr>
    </w:lvl>
    <w:lvl w:ilvl="2">
      <w:start w:val="1"/>
      <w:numFmt w:val="lowerRoman"/>
      <w:lvlText w:val="%3."/>
      <w:lvlJc w:val="right"/>
      <w:pPr>
        <w:ind w:left="2083" w:hanging="180"/>
      </w:pPr>
    </w:lvl>
    <w:lvl w:ilvl="3">
      <w:start w:val="1"/>
      <w:numFmt w:val="decimal"/>
      <w:lvlText w:val="%4."/>
      <w:lvlJc w:val="left"/>
      <w:pPr>
        <w:ind w:left="2803" w:hanging="360"/>
      </w:pPr>
    </w:lvl>
    <w:lvl w:ilvl="4">
      <w:start w:val="1"/>
      <w:numFmt w:val="lowerLetter"/>
      <w:lvlText w:val="%5."/>
      <w:lvlJc w:val="left"/>
      <w:pPr>
        <w:ind w:left="3523" w:hanging="360"/>
      </w:pPr>
    </w:lvl>
    <w:lvl w:ilvl="5">
      <w:start w:val="1"/>
      <w:numFmt w:val="lowerRoman"/>
      <w:lvlText w:val="%6."/>
      <w:lvlJc w:val="right"/>
      <w:pPr>
        <w:ind w:left="4243" w:hanging="180"/>
      </w:pPr>
    </w:lvl>
    <w:lvl w:ilvl="6">
      <w:start w:val="1"/>
      <w:numFmt w:val="decimal"/>
      <w:lvlText w:val="%7."/>
      <w:lvlJc w:val="left"/>
      <w:pPr>
        <w:ind w:left="4963" w:hanging="360"/>
      </w:pPr>
    </w:lvl>
    <w:lvl w:ilvl="7">
      <w:start w:val="1"/>
      <w:numFmt w:val="lowerLetter"/>
      <w:lvlText w:val="%8."/>
      <w:lvlJc w:val="left"/>
      <w:pPr>
        <w:ind w:left="5683" w:hanging="360"/>
      </w:pPr>
    </w:lvl>
    <w:lvl w:ilvl="8">
      <w:start w:val="1"/>
      <w:numFmt w:val="lowerRoman"/>
      <w:lvlText w:val="%9."/>
      <w:lvlJc w:val="right"/>
      <w:pPr>
        <w:ind w:left="6403" w:hanging="180"/>
      </w:pPr>
    </w:lvl>
  </w:abstractNum>
  <w:abstractNum w:abstractNumId="2">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 w:numId="2">
    <w:abstractNumId w:val="2"/>
  </w:num>
</w:numbering>
</file>

<file path=word/settings.xml><?xml version="1.0" encoding="utf-8"?>
<w:settings xmlns:w="http://schemas.openxmlformats.org/wordprocessingml/2006/main">
  <w:zoom w:percent="110"/>
  <w:defaultTabStop w:val="708"/>
  <w:autoHyphenation w:val="tru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Cs w:val="22"/>
        <w:lang w:val="ru-RU" w:eastAsia="en-US" w:bidi="ar-SA"/>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pPr>
      <w:widowControl/>
      <w:suppressAutoHyphens w:val="true"/>
      <w:bidi w:val="0"/>
      <w:spacing w:lineRule="auto" w:line="276" w:before="0" w:after="200"/>
      <w:jc w:val="left"/>
    </w:pPr>
    <w:rPr>
      <w:rFonts w:ascii="Calibri" w:hAnsi="Calibri" w:eastAsia="Calibri" w:cs="" w:asciiTheme="minorHAnsi" w:cstheme="minorBidi" w:eastAsiaTheme="minorHAnsi" w:hAnsiTheme="minorHAnsi"/>
      <w:color w:val="auto"/>
      <w:kern w:val="0"/>
      <w:sz w:val="22"/>
      <w:szCs w:val="22"/>
      <w:lang w:val="ru-RU" w:eastAsia="en-US" w:bidi="ar-SA"/>
    </w:rPr>
  </w:style>
  <w:style w:type="character" w:styleId="DefaultParagraphFont" w:default="1">
    <w:name w:val="Default Paragraph Font"/>
    <w:uiPriority w:val="1"/>
    <w:semiHidden/>
    <w:unhideWhenUsed/>
    <w:qFormat/>
    <w:rPr/>
  </w:style>
  <w:style w:type="character" w:styleId="Style14" w:customStyle="1">
    <w:name w:val="Верхний колонтитул Знак"/>
    <w:basedOn w:val="DefaultParagraphFont"/>
    <w:link w:val="a5"/>
    <w:uiPriority w:val="99"/>
    <w:qFormat/>
    <w:rsid w:val="00442f67"/>
    <w:rPr/>
  </w:style>
  <w:style w:type="character" w:styleId="Style15" w:customStyle="1">
    <w:name w:val="Нижний колонтитул Знак"/>
    <w:basedOn w:val="DefaultParagraphFont"/>
    <w:link w:val="a7"/>
    <w:uiPriority w:val="99"/>
    <w:qFormat/>
    <w:rsid w:val="00442f67"/>
    <w:rPr/>
  </w:style>
  <w:style w:type="character" w:styleId="Style16" w:customStyle="1">
    <w:name w:val="Текст выноски Знак"/>
    <w:basedOn w:val="DefaultParagraphFont"/>
    <w:link w:val="a9"/>
    <w:uiPriority w:val="99"/>
    <w:semiHidden/>
    <w:qFormat/>
    <w:rsid w:val="00a6184a"/>
    <w:rPr>
      <w:rFonts w:ascii="Tahoma" w:hAnsi="Tahoma" w:cs="Tahoma"/>
      <w:sz w:val="16"/>
      <w:szCs w:val="16"/>
    </w:rPr>
  </w:style>
  <w:style w:type="character" w:styleId="Appleconvertedspace" w:customStyle="1">
    <w:name w:val="apple-converted-space"/>
    <w:basedOn w:val="DefaultParagraphFont"/>
    <w:qFormat/>
    <w:rsid w:val="00510d77"/>
    <w:rPr/>
  </w:style>
  <w:style w:type="character" w:styleId="FontStyle13">
    <w:name w:val="Font Style13"/>
    <w:basedOn w:val="DefaultParagraphFont"/>
    <w:qFormat/>
    <w:rPr>
      <w:rFonts w:ascii="Times New Roman" w:hAnsi="Times New Roman" w:cs="Times New Roman"/>
      <w:b/>
      <w:bCs/>
      <w:sz w:val="22"/>
      <w:szCs w:val="22"/>
    </w:rPr>
  </w:style>
  <w:style w:type="paragraph" w:styleId="Style17">
    <w:name w:val="Заголовок"/>
    <w:basedOn w:val="Normal"/>
    <w:next w:val="Style18"/>
    <w:qFormat/>
    <w:pPr>
      <w:keepNext w:val="true"/>
      <w:spacing w:before="240" w:after="120"/>
    </w:pPr>
    <w:rPr>
      <w:rFonts w:ascii="PT Astra Serif" w:hAnsi="PT Astra Serif" w:eastAsia="Tahoma" w:cs="Noto Sans Devanagari"/>
      <w:sz w:val="28"/>
      <w:szCs w:val="28"/>
    </w:rPr>
  </w:style>
  <w:style w:type="paragraph" w:styleId="Style18">
    <w:name w:val="Body Text"/>
    <w:basedOn w:val="Normal"/>
    <w:pPr>
      <w:spacing w:lineRule="auto" w:line="276" w:before="0" w:after="140"/>
    </w:pPr>
    <w:rPr/>
  </w:style>
  <w:style w:type="paragraph" w:styleId="Style19">
    <w:name w:val="List"/>
    <w:basedOn w:val="Style18"/>
    <w:pPr/>
    <w:rPr>
      <w:rFonts w:ascii="PT Astra Serif" w:hAnsi="PT Astra Serif" w:cs="Noto Sans Devanagari"/>
    </w:rPr>
  </w:style>
  <w:style w:type="paragraph" w:styleId="Style20">
    <w:name w:val="Caption"/>
    <w:basedOn w:val="Normal"/>
    <w:qFormat/>
    <w:pPr>
      <w:suppressLineNumbers/>
      <w:spacing w:before="120" w:after="120"/>
    </w:pPr>
    <w:rPr>
      <w:rFonts w:ascii="PT Astra Serif" w:hAnsi="PT Astra Serif" w:cs="Noto Sans Devanagari"/>
      <w:i/>
      <w:iCs/>
      <w:sz w:val="24"/>
      <w:szCs w:val="24"/>
    </w:rPr>
  </w:style>
  <w:style w:type="paragraph" w:styleId="Style21">
    <w:name w:val="Указатель"/>
    <w:basedOn w:val="Normal"/>
    <w:qFormat/>
    <w:pPr>
      <w:suppressLineNumbers/>
    </w:pPr>
    <w:rPr>
      <w:rFonts w:ascii="PT Astra Serif" w:hAnsi="PT Astra Serif" w:cs="Noto Sans Devanagari"/>
    </w:rPr>
  </w:style>
  <w:style w:type="paragraph" w:styleId="ListParagraph">
    <w:name w:val="List Paragraph"/>
    <w:basedOn w:val="Normal"/>
    <w:uiPriority w:val="34"/>
    <w:qFormat/>
    <w:rsid w:val="009f7dae"/>
    <w:pPr>
      <w:spacing w:before="0" w:after="200"/>
      <w:ind w:left="720" w:hanging="0"/>
      <w:contextualSpacing/>
    </w:pPr>
    <w:rPr/>
  </w:style>
  <w:style w:type="paragraph" w:styleId="ConsPlusNormal" w:customStyle="1">
    <w:name w:val="ConsPlusNormal"/>
    <w:qFormat/>
    <w:rsid w:val="009f7dae"/>
    <w:pPr>
      <w:widowControl w:val="false"/>
      <w:suppressAutoHyphens w:val="true"/>
      <w:bidi w:val="0"/>
      <w:spacing w:lineRule="auto" w:line="240" w:before="0" w:after="0"/>
      <w:jc w:val="left"/>
    </w:pPr>
    <w:rPr>
      <w:rFonts w:ascii="Arial" w:hAnsi="Arial" w:eastAsia="" w:cs="Arial" w:eastAsiaTheme="minorEastAsia"/>
      <w:color w:val="auto"/>
      <w:kern w:val="0"/>
      <w:sz w:val="20"/>
      <w:szCs w:val="20"/>
      <w:lang w:val="ru-RU" w:eastAsia="ru-RU" w:bidi="ar-SA"/>
    </w:rPr>
  </w:style>
  <w:style w:type="paragraph" w:styleId="Style22">
    <w:name w:val="Верхний и нижний колонтитулы"/>
    <w:basedOn w:val="Normal"/>
    <w:qFormat/>
    <w:pPr/>
    <w:rPr/>
  </w:style>
  <w:style w:type="paragraph" w:styleId="Style23">
    <w:name w:val="Header"/>
    <w:basedOn w:val="Normal"/>
    <w:link w:val="a6"/>
    <w:uiPriority w:val="99"/>
    <w:unhideWhenUsed/>
    <w:rsid w:val="00442f67"/>
    <w:pPr>
      <w:tabs>
        <w:tab w:val="clear" w:pos="708"/>
        <w:tab w:val="center" w:pos="4677" w:leader="none"/>
        <w:tab w:val="right" w:pos="9355" w:leader="none"/>
      </w:tabs>
      <w:spacing w:lineRule="auto" w:line="240" w:before="0" w:after="0"/>
    </w:pPr>
    <w:rPr/>
  </w:style>
  <w:style w:type="paragraph" w:styleId="Style24">
    <w:name w:val="Footer"/>
    <w:basedOn w:val="Normal"/>
    <w:link w:val="a8"/>
    <w:uiPriority w:val="99"/>
    <w:unhideWhenUsed/>
    <w:rsid w:val="00442f67"/>
    <w:pPr>
      <w:tabs>
        <w:tab w:val="clear" w:pos="708"/>
        <w:tab w:val="center" w:pos="4677" w:leader="none"/>
        <w:tab w:val="right" w:pos="9355" w:leader="none"/>
      </w:tabs>
      <w:spacing w:lineRule="auto" w:line="240" w:before="0" w:after="0"/>
    </w:pPr>
    <w:rPr/>
  </w:style>
  <w:style w:type="paragraph" w:styleId="BalloonText">
    <w:name w:val="Balloon Text"/>
    <w:basedOn w:val="Normal"/>
    <w:link w:val="aa"/>
    <w:uiPriority w:val="99"/>
    <w:semiHidden/>
    <w:unhideWhenUsed/>
    <w:qFormat/>
    <w:rsid w:val="00a6184a"/>
    <w:pPr>
      <w:spacing w:lineRule="auto" w:line="240" w:before="0" w:after="0"/>
    </w:pPr>
    <w:rPr>
      <w:rFonts w:ascii="Tahoma" w:hAnsi="Tahoma" w:cs="Tahoma"/>
      <w:sz w:val="16"/>
      <w:szCs w:val="16"/>
    </w:rPr>
  </w:style>
  <w:style w:type="numbering" w:styleId="NoList" w:default="1">
    <w:name w:val="No List"/>
    <w:uiPriority w:val="99"/>
    <w:semiHidden/>
    <w:unhideWhenUsed/>
    <w:qFormat/>
  </w:style>
  <w:style w:type="table" w:default="1" w:styleId="a1">
    <w:name w:val="Normal Table"/>
    <w:uiPriority w:val="99"/>
    <w:semiHidden/>
    <w:unhideWhenUsed/>
    <w:tblPr>
      <w:tblInd w:w="0" w:type="dxa"/>
      <w:tblCellMar>
        <w:top w:w="0" w:type="dxa"/>
        <w:left w:w="108" w:type="dxa"/>
        <w:bottom w:w="0" w:type="dxa"/>
        <w:right w:w="108" w:type="dxa"/>
      </w:tblCellMar>
    </w:tblPr>
  </w:style>
  <w:style w:type="table" w:styleId="a4">
    <w:name w:val="Table Grid"/>
    <w:basedOn w:val="a1"/>
    <w:uiPriority w:val="59"/>
    <w:rsid w:val="009f7dae"/>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numbering" Target="numbering.xml"/><Relationship Id="rId4" Type="http://schemas.openxmlformats.org/officeDocument/2006/relationships/fontTable" Target="fontTable.xml"/><Relationship Id="rId5" Type="http://schemas.openxmlformats.org/officeDocument/2006/relationships/settings" Target="settings.xml"/><Relationship Id="rId6" Type="http://schemas.openxmlformats.org/officeDocument/2006/relationships/theme" Target="theme/theme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430</TotalTime>
  <Application>LibreOffice/6.4.4.2$Linux_X86_64 LibreOffice_project/40$Build-2</Application>
  <Pages>4</Pages>
  <Words>955</Words>
  <Characters>6538</Characters>
  <CharactersWithSpaces>7419</CharactersWithSpaces>
  <Paragraphs>86</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2019-07-31T08:30:00Z</dcterms:created>
  <dc:creator>Подуздов Юрий Александрович</dc:creator>
  <dc:description/>
  <dc:language>ru-RU</dc:language>
  <cp:lastModifiedBy/>
  <cp:lastPrinted>2021-04-27T16:19:21Z</cp:lastPrinted>
  <dcterms:modified xsi:type="dcterms:W3CDTF">2021-04-28T15:39:06Z</dcterms:modified>
  <cp:revision>57</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